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40" w:lineRule="exact"/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8"/>
      </w:pPr>
    </w:p>
    <w:p>
      <w:pPr>
        <w:spacing w:line="580" w:lineRule="exact"/>
        <w:jc w:val="center"/>
        <w:rPr>
          <w:rFonts w:hint="eastAsia" w:ascii="大汉简仪宋" w:eastAsia="大汉简仪宋"/>
          <w:b/>
          <w:color w:val="000000"/>
          <w:sz w:val="44"/>
          <w:szCs w:val="44"/>
        </w:rPr>
      </w:pPr>
      <w:bookmarkStart w:id="0" w:name="_GoBack"/>
      <w:r>
        <w:rPr>
          <w:rFonts w:hint="eastAsia" w:ascii="大汉简仪宋" w:eastAsia="大汉简仪宋"/>
          <w:b/>
          <w:color w:val="000000"/>
          <w:sz w:val="44"/>
          <w:szCs w:val="44"/>
        </w:rPr>
        <w:t>2021年度第二批四川省建设工程系统用户</w:t>
      </w:r>
    </w:p>
    <w:p>
      <w:pPr>
        <w:spacing w:line="580" w:lineRule="exact"/>
        <w:jc w:val="center"/>
        <w:rPr>
          <w:rFonts w:hint="eastAsia" w:ascii="大汉简仪宋" w:eastAsia="大汉简仪宋"/>
          <w:b/>
          <w:color w:val="000000"/>
          <w:sz w:val="44"/>
          <w:szCs w:val="44"/>
        </w:rPr>
      </w:pPr>
      <w:r>
        <w:rPr>
          <w:rFonts w:hint="eastAsia" w:ascii="大汉简仪宋" w:eastAsia="大汉简仪宋"/>
          <w:b/>
          <w:color w:val="000000"/>
          <w:sz w:val="44"/>
          <w:szCs w:val="44"/>
        </w:rPr>
        <w:t>满意工程名单</w:t>
      </w:r>
    </w:p>
    <w:bookmarkEnd w:id="0"/>
    <w:p>
      <w:pPr>
        <w:spacing w:line="580" w:lineRule="exact"/>
        <w:jc w:val="center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用户满意工程（共5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个，排名不分先后）</w:t>
      </w:r>
    </w:p>
    <w:p>
      <w:pPr>
        <w:pStyle w:val="8"/>
        <w:rPr>
          <w:sz w:val="10"/>
          <w:szCs w:val="10"/>
        </w:rPr>
      </w:pP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110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tblHeader/>
        </w:trPr>
        <w:tc>
          <w:tcPr>
            <w:tcW w:w="454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20"/>
                <w:sz w:val="30"/>
                <w:szCs w:val="30"/>
              </w:rPr>
              <w:t>序号</w:t>
            </w:r>
          </w:p>
        </w:tc>
        <w:tc>
          <w:tcPr>
            <w:tcW w:w="2196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2349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工程名称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454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96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349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四川省场道工程有限公司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迪庆香格里拉机场四期改建扩建场道工程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中国华西企业股份有限公司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XDG-2011-45号地块住宅及公建配套设施项目（六期）MR01、MR02号楼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中国建筑一局（集团）有限公司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漩水沱岷江特大桥工程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金誉兰庭项目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麓湖生态城A</w:t>
            </w:r>
            <w:r>
              <w:rPr>
                <w:rFonts w:ascii="仿宋_GB2312" w:eastAsia="仿宋_GB2312"/>
                <w:bCs/>
                <w:sz w:val="24"/>
              </w:rPr>
              <w:t>5</w:t>
            </w:r>
            <w:r>
              <w:rPr>
                <w:rFonts w:hint="eastAsia" w:ascii="仿宋_GB2312" w:eastAsia="仿宋_GB2312"/>
                <w:bCs/>
                <w:sz w:val="24"/>
              </w:rPr>
              <w:t>组团项目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中国水利水电第七工程局有限公司、中电建生态环境集团有限公司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新都区毗河流域环境综合整治ppp项目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中铁八局集团电务工程有限公司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成都轨道交通9号线一期黄田坝站、成都西站、培风站站后相关（机电、系统、信号）工程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泰兴一建建设集团有限公司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东安湖文化艺术中心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中交第四航务工程局有限公司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岷江犍为航电枢纽土建Ⅳ标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中国水利水电第五工程局有限公司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犍为航电枢纽主体工程土建Ⅱ标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中天建设集团有限公司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德阳新城吾悦广场住宅二标段项目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中天建设集团有限公司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碧桂园·凤凰台货量区（一标段、二标段）项目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四川省场道工程有限公司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重庆万州五桥机场改扩建工程项目场道工程一标段项目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四川省交通建设集团股份有限公司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G</w:t>
            </w:r>
            <w:r>
              <w:rPr>
                <w:rFonts w:ascii="仿宋_GB2312" w:eastAsia="仿宋_GB2312"/>
                <w:bCs/>
                <w:sz w:val="24"/>
              </w:rPr>
              <w:t>0512</w:t>
            </w:r>
            <w:r>
              <w:rPr>
                <w:rFonts w:hint="eastAsia" w:ascii="仿宋_GB2312" w:eastAsia="仿宋_GB2312"/>
                <w:bCs/>
                <w:sz w:val="24"/>
              </w:rPr>
              <w:t>线成都至乐山高速公路扩容建设项目眉山至乐山段工程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华润建筑有限公司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华润置地万象城二期一标段项目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四川省第十一建筑有限公司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鸿山翡翠城一期项目4#、5#楼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中铁二十三集团有限公司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达州市通川区罗江大桥工程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四川省第六建筑有限公司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滨江天越项目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四川省第十一建筑有限公司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二郎镇郎酒厂总部办公楼建设项目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中国建筑第八工程局有限公司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四川大学华西医院转化医学综合楼建设项目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中铁二局集团建筑有限公司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中铁阅山湖C湖组团一期（一标段）项目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四川航天建筑工程有限公司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新建广汉市人民医院项目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四川省建筑机械化工程有限公司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四川大学华西第二医院锦江院区二期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中国华西企业股份有限公司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自贡市东部新城二期基础设施建设项目（江姐故居）总承包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青衣江湿地公园（一期）工程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天府艺术公园·文博坊片区场馆建设项目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西华大学宜宾产教融合实训基地建设项目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中电建路桥集团有限公司、中国水利水电第三工程局有限公司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遂宁市河东新区绿色新城（A区）项目（“五彩之心”景观绿化项目）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color w:val="000000"/>
                <w:spacing w:val="-2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工业园区创新科技孵化园一期建设项目-五里梁产城新区科技孵化园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成都工业学院宜宾产教融合实训基地建设项目（一期）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江西中煤建设集团有限公司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峨边自治县交通基础设施综合建设工程（第二批）勘察设计施工总承包（E</w:t>
            </w:r>
            <w:r>
              <w:rPr>
                <w:rFonts w:ascii="仿宋_GB2312" w:eastAsia="仿宋_GB2312"/>
                <w:bCs/>
                <w:sz w:val="24"/>
              </w:rPr>
              <w:t>PC</w:t>
            </w:r>
            <w:r>
              <w:rPr>
                <w:rFonts w:hint="eastAsia" w:ascii="仿宋_GB2312" w:eastAsia="仿宋_GB2312"/>
                <w:bCs/>
                <w:sz w:val="24"/>
              </w:rPr>
              <w:t>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泰兴一建建设集团有限公司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宜宾市三江口C</w:t>
            </w:r>
            <w:r>
              <w:rPr>
                <w:rFonts w:ascii="仿宋_GB2312" w:eastAsia="仿宋_GB2312"/>
                <w:bCs/>
                <w:sz w:val="24"/>
              </w:rPr>
              <w:t>BD</w:t>
            </w:r>
            <w:r>
              <w:rPr>
                <w:rFonts w:hint="eastAsia" w:ascii="仿宋_GB2312" w:eastAsia="仿宋_GB2312"/>
                <w:bCs/>
                <w:sz w:val="24"/>
              </w:rPr>
              <w:t>中央商务一期工程（S</w:t>
            </w:r>
            <w:r>
              <w:rPr>
                <w:rFonts w:ascii="仿宋_GB2312" w:eastAsia="仿宋_GB2312"/>
                <w:bCs/>
                <w:sz w:val="24"/>
              </w:rPr>
              <w:t>JK-A-2-2-1</w:t>
            </w:r>
            <w:r>
              <w:rPr>
                <w:rFonts w:hint="eastAsia" w:ascii="仿宋_GB2312" w:eastAsia="仿宋_GB2312"/>
                <w:bCs/>
                <w:sz w:val="24"/>
              </w:rPr>
              <w:t>地块）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成都理工大学产业技术学院（一期）项目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德阳高新区万福棚户区改造项目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四川天府机场高速公路有限公司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成都天府国际机场高速公路项目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中铁二局集团有限公司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鲁南高速铁路嘉祥梁宝寺铁路特大桥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四川公路桥梁建设集团有限公司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广安环城公路（小平大道）省道304线改线工程官盛渠江大桥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成都建工第三建筑工程有限公司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安徽国风木塑科技有限公司年产4万吨新型绿色建材土建工程项目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中建五局第三建设有限公司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复地金融岛A地块商业、办公（Ⅱ区）A-2号楼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中信建设有限责任公司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资阳市临空经济区产业孵化中心建设工程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中国华西企业股份有限公司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嘉来·南河广场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成都建工第九建筑工程有限公司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天全县人民医院利用沙特基金会贷款芦山地震灾后恢复重建项目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四川省第一建筑工程有限公司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悦江庭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四川省第一建筑工程有限公司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太谷广场一期1-8#楼及地下室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成都建工第四建筑工程有限公司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东阳国际帛楠城11#及地下车库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四川省第十一建筑有限公司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正尚国际金融广场A、B座商务办公楼及商业裙房、地下车库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四川省第十一建筑有限公司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正尚国际金融广场C、D座商务办公楼及商业裙房、地下车库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48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四川省第十五建筑有限公司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红星</w:t>
            </w:r>
            <w:r>
              <w:rPr>
                <w:rFonts w:hint="cs" w:ascii="仿宋_GB2312" w:hAnsi="宋体" w:eastAsia="仿宋_GB2312"/>
                <w:color w:val="000000"/>
                <w:sz w:val="24"/>
                <w:cs/>
              </w:rPr>
              <w:t>•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紫御半山一期4#楼工程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49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四川省第六建筑有限公司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泸州市川酒文化培训学校项目（8#教学楼、13#学生活动中心、车库和南大门、南广场及南天桥）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中信国安建设有限公司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青神中学校整体搬迁建设项目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5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51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中国五冶集团有限公司</w:t>
            </w:r>
          </w:p>
        </w:tc>
        <w:tc>
          <w:tcPr>
            <w:tcW w:w="23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印刷包装产能项目勘察-设计-施工总承包</w:t>
            </w:r>
          </w:p>
        </w:tc>
      </w:tr>
    </w:tbl>
    <w:p>
      <w:pPr>
        <w:spacing w:line="400" w:lineRule="exact"/>
        <w:rPr>
          <w:rFonts w:hint="eastAsia"/>
          <w:color w:val="000000"/>
        </w:rPr>
      </w:pPr>
    </w:p>
    <w:p/>
    <w:sectPr>
      <w:headerReference r:id="rId3" w:type="default"/>
      <w:footerReference r:id="rId4" w:type="default"/>
      <w:pgSz w:w="11906" w:h="16838"/>
      <w:pgMar w:top="1871" w:right="1474" w:bottom="1871" w:left="164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大汉简仪宋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uiPriority w:val="0"/>
    <w:pPr>
      <w:ind w:firstLine="420" w:firstLine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2022-12-29T11:47:46Z</dcterms:created>
  <dc:creator>杜诗旻的电脑</dc:creator>
  <cp:lastModifiedBy>杜诗旻的电脑</cp:lastModifiedBy>
  <dcterms:modified xsi:type="dcterms:W3CDTF">2022-12-29T11:47:57Z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